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3A4" w:rsidRPr="004A00CB" w:rsidRDefault="004A00CB" w:rsidP="004564D2">
      <w:pPr>
        <w:spacing w:after="0" w:line="240" w:lineRule="auto"/>
        <w:outlineLvl w:val="0"/>
        <w:rPr>
          <w:rFonts w:ascii="almoni-dl" w:eastAsia="Times New Roman" w:hAnsi="almoni-dl" w:cs="Arial"/>
          <w:b/>
          <w:bCs/>
          <w:color w:val="BF1E2E"/>
          <w:kern w:val="36"/>
          <w:sz w:val="32"/>
          <w:szCs w:val="32"/>
          <w:rtl/>
        </w:rPr>
      </w:pPr>
      <w:r w:rsidRPr="004A00CB">
        <w:rPr>
          <w:rFonts w:ascii="almoni-dl" w:eastAsia="Times New Roman" w:hAnsi="almoni-dl" w:cs="Arial" w:hint="cs"/>
          <w:b/>
          <w:bCs/>
          <w:color w:val="BF1E2E"/>
          <w:kern w:val="36"/>
          <w:sz w:val="32"/>
          <w:szCs w:val="32"/>
          <w:rtl/>
        </w:rPr>
        <w:t xml:space="preserve">חוק הרשות הממשלתית להתחדשות עירונית </w:t>
      </w:r>
      <w:r w:rsidRPr="004A00CB">
        <w:rPr>
          <w:rFonts w:ascii="almoni-dl" w:eastAsia="Times New Roman" w:hAnsi="almoni-dl" w:cs="Arial"/>
          <w:b/>
          <w:bCs/>
          <w:color w:val="BF1E2E"/>
          <w:kern w:val="36"/>
          <w:sz w:val="32"/>
          <w:szCs w:val="32"/>
          <w:rtl/>
        </w:rPr>
        <w:t>–</w:t>
      </w:r>
      <w:r w:rsidRPr="004A00CB">
        <w:rPr>
          <w:rFonts w:ascii="almoni-dl" w:eastAsia="Times New Roman" w:hAnsi="almoni-dl" w:cs="Arial" w:hint="cs"/>
          <w:b/>
          <w:bCs/>
          <w:color w:val="BF1E2E"/>
          <w:kern w:val="36"/>
          <w:sz w:val="32"/>
          <w:szCs w:val="32"/>
          <w:rtl/>
        </w:rPr>
        <w:t xml:space="preserve"> פטור מקיף ממס שבח </w:t>
      </w:r>
      <w:proofErr w:type="spellStart"/>
      <w:r w:rsidRPr="004A00CB">
        <w:rPr>
          <w:rFonts w:ascii="almoni-dl" w:eastAsia="Times New Roman" w:hAnsi="almoni-dl" w:cs="Arial" w:hint="cs"/>
          <w:b/>
          <w:bCs/>
          <w:color w:val="BF1E2E"/>
          <w:kern w:val="36"/>
          <w:sz w:val="32"/>
          <w:szCs w:val="32"/>
          <w:rtl/>
        </w:rPr>
        <w:t>בתמ"א</w:t>
      </w:r>
      <w:proofErr w:type="spellEnd"/>
      <w:r w:rsidRPr="004A00CB">
        <w:rPr>
          <w:rFonts w:ascii="almoni-dl" w:eastAsia="Times New Roman" w:hAnsi="almoni-dl" w:cs="Arial" w:hint="cs"/>
          <w:b/>
          <w:bCs/>
          <w:color w:val="BF1E2E"/>
          <w:kern w:val="36"/>
          <w:sz w:val="32"/>
          <w:szCs w:val="32"/>
          <w:rtl/>
        </w:rPr>
        <w:t xml:space="preserve"> 38 </w:t>
      </w:r>
    </w:p>
    <w:p w:rsidR="004564D2" w:rsidRDefault="004564D2" w:rsidP="004564D2">
      <w:pPr>
        <w:spacing w:after="0" w:line="240" w:lineRule="auto"/>
        <w:outlineLvl w:val="0"/>
        <w:rPr>
          <w:rFonts w:ascii="Arial" w:eastAsia="Times New Roman" w:hAnsi="Arial" w:cs="Arial"/>
          <w:color w:val="222222"/>
          <w:sz w:val="28"/>
          <w:szCs w:val="28"/>
          <w:rtl/>
        </w:rPr>
      </w:pPr>
    </w:p>
    <w:p w:rsidR="004A00CB" w:rsidRPr="00594A91" w:rsidRDefault="004A00CB" w:rsidP="004564D2">
      <w:pPr>
        <w:spacing w:after="0" w:line="240" w:lineRule="auto"/>
        <w:outlineLvl w:val="0"/>
        <w:rPr>
          <w:rFonts w:ascii="almoni-dl" w:eastAsia="Times New Roman" w:hAnsi="almoni-dl" w:cs="Arial"/>
          <w:b/>
          <w:bCs/>
          <w:color w:val="BF1E2E"/>
          <w:kern w:val="36"/>
          <w:sz w:val="24"/>
          <w:szCs w:val="24"/>
          <w:rtl/>
        </w:rPr>
      </w:pPr>
      <w:r w:rsidRPr="00594A91">
        <w:rPr>
          <w:rFonts w:ascii="Arial" w:eastAsia="Times New Roman" w:hAnsi="Arial" w:cs="Arial" w:hint="cs"/>
          <w:color w:val="222222"/>
          <w:sz w:val="24"/>
          <w:szCs w:val="24"/>
          <w:rtl/>
        </w:rPr>
        <w:t xml:space="preserve">בתום צפייה ממושכת פורסם ברשומות </w:t>
      </w:r>
      <w:r w:rsidRPr="00594A91">
        <w:rPr>
          <w:rFonts w:ascii="Arial" w:hAnsi="Arial" w:cs="Arial"/>
          <w:color w:val="000000"/>
          <w:sz w:val="24"/>
          <w:szCs w:val="24"/>
          <w:rtl/>
        </w:rPr>
        <w:t xml:space="preserve">ביום 21.8.16 </w:t>
      </w:r>
      <w:r w:rsidRPr="00594A91">
        <w:rPr>
          <w:rFonts w:ascii="Arial" w:hAnsi="Arial" w:cs="Arial" w:hint="cs"/>
          <w:color w:val="000000"/>
          <w:sz w:val="24"/>
          <w:szCs w:val="24"/>
          <w:rtl/>
        </w:rPr>
        <w:t xml:space="preserve"> -</w:t>
      </w:r>
      <w:r w:rsidRPr="00594A91">
        <w:rPr>
          <w:rFonts w:ascii="Arial" w:eastAsia="Times New Roman" w:hAnsi="Arial" w:cs="Arial" w:hint="cs"/>
          <w:color w:val="222222"/>
          <w:sz w:val="24"/>
          <w:szCs w:val="24"/>
          <w:rtl/>
        </w:rPr>
        <w:t xml:space="preserve"> חוק הרשות הממשלתית להתחדשות עירונית </w:t>
      </w:r>
      <w:r w:rsidRPr="00594A91">
        <w:rPr>
          <w:rFonts w:ascii="Arial" w:hAnsi="Arial" w:cs="Arial"/>
          <w:color w:val="000000"/>
          <w:sz w:val="24"/>
          <w:szCs w:val="24"/>
          <w:rtl/>
        </w:rPr>
        <w:t>התשע"ו-2016,</w:t>
      </w:r>
    </w:p>
    <w:p w:rsidR="004A00CB" w:rsidRPr="00594A91" w:rsidRDefault="004A00CB" w:rsidP="004564D2">
      <w:pPr>
        <w:spacing w:after="0" w:line="240" w:lineRule="auto"/>
        <w:outlineLvl w:val="0"/>
        <w:rPr>
          <w:rFonts w:ascii="Arial" w:hAnsi="Arial" w:cs="Arial"/>
          <w:color w:val="000000"/>
          <w:sz w:val="24"/>
          <w:szCs w:val="24"/>
          <w:rtl/>
        </w:rPr>
      </w:pPr>
      <w:r w:rsidRPr="00594A91">
        <w:rPr>
          <w:rFonts w:ascii="Arial" w:hAnsi="Arial" w:cs="Arial"/>
          <w:color w:val="000000"/>
          <w:sz w:val="24"/>
          <w:szCs w:val="24"/>
          <w:rtl/>
        </w:rPr>
        <w:t>ב</w:t>
      </w:r>
      <w:r w:rsidRPr="00594A91">
        <w:rPr>
          <w:rFonts w:ascii="Arial" w:hAnsi="Arial" w:cs="Arial" w:hint="cs"/>
          <w:color w:val="000000"/>
          <w:sz w:val="24"/>
          <w:szCs w:val="24"/>
          <w:rtl/>
        </w:rPr>
        <w:t>מסגרת החוק הוכנסו מספר הקלות משמעותיות לגבי חבות מס שבח ומע"מ בעסקאות תמ"א 38, הקלות שמטרתן ל</w:t>
      </w:r>
      <w:bookmarkStart w:id="0" w:name="_GoBack"/>
      <w:bookmarkEnd w:id="0"/>
      <w:r w:rsidRPr="00594A91">
        <w:rPr>
          <w:rFonts w:ascii="Arial" w:hAnsi="Arial" w:cs="Arial" w:hint="cs"/>
          <w:color w:val="000000"/>
          <w:sz w:val="24"/>
          <w:szCs w:val="24"/>
          <w:rtl/>
        </w:rPr>
        <w:t>האיץ את קצב התחלות הבניה ולהרחיב את מעגל הכדאיות ליזמים.</w:t>
      </w:r>
    </w:p>
    <w:p w:rsidR="00601B40" w:rsidRPr="00594A91" w:rsidRDefault="00601B40" w:rsidP="004564D2">
      <w:pPr>
        <w:spacing w:after="0" w:line="240" w:lineRule="auto"/>
        <w:outlineLvl w:val="0"/>
        <w:rPr>
          <w:rFonts w:ascii="Arial" w:hAnsi="Arial" w:cs="Arial"/>
          <w:color w:val="000000"/>
          <w:sz w:val="24"/>
          <w:szCs w:val="24"/>
          <w:rtl/>
        </w:rPr>
      </w:pPr>
    </w:p>
    <w:p w:rsidR="00601B40" w:rsidRPr="00594A91" w:rsidRDefault="00601B40" w:rsidP="004564D2">
      <w:pPr>
        <w:spacing w:after="0" w:line="240" w:lineRule="auto"/>
        <w:outlineLvl w:val="0"/>
        <w:rPr>
          <w:rFonts w:ascii="Arial" w:hAnsi="Arial" w:cs="Arial"/>
          <w:b/>
          <w:bCs/>
          <w:color w:val="000000"/>
          <w:sz w:val="32"/>
          <w:szCs w:val="32"/>
          <w:rtl/>
        </w:rPr>
      </w:pPr>
      <w:r w:rsidRPr="00594A91">
        <w:rPr>
          <w:rFonts w:ascii="Arial" w:hAnsi="Arial" w:cs="Arial" w:hint="cs"/>
          <w:b/>
          <w:bCs/>
          <w:color w:val="000000"/>
          <w:sz w:val="32"/>
          <w:szCs w:val="32"/>
          <w:rtl/>
        </w:rPr>
        <w:t>מה בין עסקת קומבינציה לעסקת תמ"א 38:</w:t>
      </w:r>
    </w:p>
    <w:p w:rsidR="00601B40" w:rsidRPr="00594A91" w:rsidRDefault="00601B40" w:rsidP="004564D2">
      <w:pPr>
        <w:spacing w:after="0" w:line="240" w:lineRule="auto"/>
        <w:outlineLvl w:val="0"/>
        <w:rPr>
          <w:rFonts w:ascii="Arial" w:hAnsi="Arial" w:cs="Arial"/>
          <w:color w:val="000000"/>
          <w:sz w:val="24"/>
          <w:szCs w:val="24"/>
          <w:rtl/>
        </w:rPr>
      </w:pPr>
    </w:p>
    <w:p w:rsidR="00601B40" w:rsidRPr="00594A91" w:rsidRDefault="00601B40" w:rsidP="004564D2">
      <w:pPr>
        <w:spacing w:after="0" w:line="240" w:lineRule="auto"/>
        <w:outlineLvl w:val="0"/>
        <w:rPr>
          <w:rFonts w:ascii="Arial" w:hAnsi="Arial" w:cs="Arial" w:hint="cs"/>
          <w:color w:val="000000"/>
          <w:sz w:val="24"/>
          <w:szCs w:val="24"/>
          <w:rtl/>
        </w:rPr>
      </w:pPr>
      <w:r w:rsidRPr="00594A91">
        <w:rPr>
          <w:rFonts w:ascii="Arial" w:hAnsi="Arial" w:cs="Arial" w:hint="cs"/>
          <w:color w:val="000000"/>
          <w:sz w:val="24"/>
          <w:szCs w:val="24"/>
          <w:rtl/>
        </w:rPr>
        <w:t>במסגרת עסקת תמ"א 38 מוכרים בעלי הדירות בבית המשותף לידי היזם את הזכויות המוקנות להם מכוח התכניות הרלוונטיות, בתמורה לשירותי בניה במטרה לחזק את המבנה בדרך של עיבוי וחיזוק או בדרך של הריסה ובניה מחדש.</w:t>
      </w:r>
    </w:p>
    <w:p w:rsidR="00601B40" w:rsidRPr="00594A91" w:rsidRDefault="00601B40" w:rsidP="004564D2">
      <w:pPr>
        <w:spacing w:after="0" w:line="240" w:lineRule="auto"/>
        <w:outlineLvl w:val="0"/>
        <w:rPr>
          <w:rFonts w:ascii="Arial" w:hAnsi="Arial" w:cs="Arial"/>
          <w:color w:val="000000"/>
          <w:sz w:val="24"/>
          <w:szCs w:val="24"/>
          <w:rtl/>
        </w:rPr>
      </w:pPr>
      <w:r w:rsidRPr="00594A91">
        <w:rPr>
          <w:rFonts w:ascii="Arial" w:hAnsi="Arial" w:cs="Arial" w:hint="cs"/>
          <w:color w:val="000000"/>
          <w:sz w:val="24"/>
          <w:szCs w:val="24"/>
          <w:rtl/>
        </w:rPr>
        <w:t>מספר אירועי מס מתרחשים בעסקה כזו, כמוה כעסקת קומבינציה:</w:t>
      </w:r>
    </w:p>
    <w:p w:rsidR="00601B40" w:rsidRPr="00594A91" w:rsidRDefault="00601B40" w:rsidP="004564D2">
      <w:pPr>
        <w:pStyle w:val="ListParagraph"/>
        <w:numPr>
          <w:ilvl w:val="0"/>
          <w:numId w:val="3"/>
        </w:numPr>
        <w:spacing w:after="0" w:line="240" w:lineRule="auto"/>
        <w:outlineLvl w:val="0"/>
        <w:rPr>
          <w:rFonts w:ascii="Arial" w:hAnsi="Arial" w:cs="Arial" w:hint="cs"/>
          <w:color w:val="000000"/>
          <w:sz w:val="24"/>
          <w:szCs w:val="24"/>
        </w:rPr>
      </w:pPr>
      <w:r w:rsidRPr="00594A91">
        <w:rPr>
          <w:rFonts w:ascii="Arial" w:hAnsi="Arial" w:cs="Arial" w:hint="cs"/>
          <w:b/>
          <w:bCs/>
          <w:color w:val="000000"/>
          <w:sz w:val="24"/>
          <w:szCs w:val="24"/>
          <w:rtl/>
        </w:rPr>
        <w:t>הדיירים</w:t>
      </w:r>
      <w:r w:rsidRPr="00594A91">
        <w:rPr>
          <w:rFonts w:ascii="Arial" w:hAnsi="Arial" w:cs="Arial" w:hint="cs"/>
          <w:color w:val="000000"/>
          <w:sz w:val="24"/>
          <w:szCs w:val="24"/>
          <w:rtl/>
        </w:rPr>
        <w:t xml:space="preserve"> - מוכרים ליזם זכויות במקרקעין בתמורה לקבל שירותי בניה.</w:t>
      </w:r>
    </w:p>
    <w:p w:rsidR="00C457FB" w:rsidRPr="00594A91" w:rsidRDefault="00601B40" w:rsidP="004564D2">
      <w:pPr>
        <w:pStyle w:val="ListParagraph"/>
        <w:numPr>
          <w:ilvl w:val="0"/>
          <w:numId w:val="3"/>
        </w:numPr>
        <w:spacing w:after="0" w:line="240" w:lineRule="auto"/>
        <w:outlineLvl w:val="0"/>
        <w:rPr>
          <w:rFonts w:ascii="Arial" w:hAnsi="Arial" w:cs="Arial"/>
          <w:color w:val="000000"/>
          <w:sz w:val="24"/>
          <w:szCs w:val="24"/>
        </w:rPr>
      </w:pPr>
      <w:r w:rsidRPr="00594A91">
        <w:rPr>
          <w:rFonts w:ascii="Arial" w:hAnsi="Arial" w:cs="Arial" w:hint="cs"/>
          <w:b/>
          <w:bCs/>
          <w:color w:val="000000"/>
          <w:sz w:val="24"/>
          <w:szCs w:val="24"/>
          <w:rtl/>
        </w:rPr>
        <w:t>היזם</w:t>
      </w:r>
      <w:r w:rsidRPr="00594A91">
        <w:rPr>
          <w:rFonts w:ascii="Arial" w:hAnsi="Arial" w:cs="Arial" w:hint="cs"/>
          <w:color w:val="000000"/>
          <w:sz w:val="24"/>
          <w:szCs w:val="24"/>
          <w:rtl/>
        </w:rPr>
        <w:t xml:space="preserve"> </w:t>
      </w:r>
      <w:r w:rsidR="00C457FB" w:rsidRPr="00594A91">
        <w:rPr>
          <w:rFonts w:ascii="Arial" w:hAnsi="Arial" w:cs="Arial"/>
          <w:color w:val="000000"/>
          <w:sz w:val="24"/>
          <w:szCs w:val="24"/>
          <w:rtl/>
        </w:rPr>
        <w:t>–</w:t>
      </w:r>
      <w:r w:rsidRPr="00594A91">
        <w:rPr>
          <w:rFonts w:ascii="Arial" w:hAnsi="Arial" w:cs="Arial" w:hint="cs"/>
          <w:color w:val="000000"/>
          <w:sz w:val="24"/>
          <w:szCs w:val="24"/>
          <w:rtl/>
        </w:rPr>
        <w:t xml:space="preserve"> </w:t>
      </w:r>
      <w:r w:rsidR="00C457FB" w:rsidRPr="00594A91">
        <w:rPr>
          <w:rFonts w:ascii="Arial" w:hAnsi="Arial" w:cs="Arial" w:hint="cs"/>
          <w:color w:val="000000"/>
          <w:sz w:val="24"/>
          <w:szCs w:val="24"/>
          <w:rtl/>
        </w:rPr>
        <w:t xml:space="preserve">רכישת זכויות בניה - מס רכישה + מס שבח + </w:t>
      </w:r>
      <w:proofErr w:type="spellStart"/>
      <w:r w:rsidR="00C457FB" w:rsidRPr="00594A91">
        <w:rPr>
          <w:rFonts w:ascii="Arial" w:hAnsi="Arial" w:cs="Arial" w:hint="cs"/>
          <w:color w:val="000000"/>
          <w:sz w:val="24"/>
          <w:szCs w:val="24"/>
          <w:rtl/>
        </w:rPr>
        <w:t>מעמ</w:t>
      </w:r>
      <w:proofErr w:type="spellEnd"/>
      <w:r w:rsidR="00C457FB" w:rsidRPr="00594A91">
        <w:rPr>
          <w:rFonts w:ascii="Arial" w:hAnsi="Arial" w:cs="Arial" w:hint="cs"/>
          <w:color w:val="000000"/>
          <w:sz w:val="24"/>
          <w:szCs w:val="24"/>
          <w:rtl/>
        </w:rPr>
        <w:t xml:space="preserve"> שירותי בניה + </w:t>
      </w:r>
      <w:proofErr w:type="spellStart"/>
      <w:r w:rsidR="00C457FB" w:rsidRPr="00594A91">
        <w:rPr>
          <w:rFonts w:ascii="Arial" w:hAnsi="Arial" w:cs="Arial" w:hint="cs"/>
          <w:color w:val="000000"/>
          <w:sz w:val="24"/>
          <w:szCs w:val="24"/>
          <w:rtl/>
        </w:rPr>
        <w:t>מעמ</w:t>
      </w:r>
      <w:proofErr w:type="spellEnd"/>
      <w:r w:rsidR="00C457FB" w:rsidRPr="00594A91">
        <w:rPr>
          <w:rFonts w:ascii="Arial" w:hAnsi="Arial" w:cs="Arial" w:hint="cs"/>
          <w:color w:val="000000"/>
          <w:sz w:val="24"/>
          <w:szCs w:val="24"/>
          <w:rtl/>
        </w:rPr>
        <w:t xml:space="preserve"> עבור רכישת זכויות + היטלי השבחה עבור הגדלת הזכויות. </w:t>
      </w:r>
    </w:p>
    <w:p w:rsidR="004564D2" w:rsidRPr="00594A91" w:rsidRDefault="004564D2" w:rsidP="004564D2">
      <w:pPr>
        <w:spacing w:after="0" w:line="240" w:lineRule="auto"/>
        <w:outlineLvl w:val="0"/>
        <w:rPr>
          <w:rFonts w:ascii="Arial" w:hAnsi="Arial" w:cs="Arial"/>
          <w:color w:val="000000"/>
          <w:sz w:val="24"/>
          <w:szCs w:val="24"/>
          <w:rtl/>
        </w:rPr>
      </w:pPr>
    </w:p>
    <w:p w:rsidR="007964BB" w:rsidRPr="00594A91" w:rsidRDefault="00C457FB" w:rsidP="004564D2">
      <w:pPr>
        <w:spacing w:after="0" w:line="240" w:lineRule="auto"/>
        <w:outlineLvl w:val="0"/>
        <w:rPr>
          <w:rFonts w:ascii="Arial" w:hAnsi="Arial" w:cs="Arial"/>
          <w:color w:val="000000"/>
          <w:sz w:val="24"/>
          <w:szCs w:val="24"/>
          <w:rtl/>
        </w:rPr>
      </w:pPr>
      <w:r w:rsidRPr="00594A91">
        <w:rPr>
          <w:rFonts w:ascii="Arial" w:hAnsi="Arial" w:cs="Arial" w:hint="cs"/>
          <w:color w:val="000000"/>
          <w:sz w:val="24"/>
          <w:szCs w:val="24"/>
          <w:rtl/>
        </w:rPr>
        <w:t xml:space="preserve">כדי לעודד תמ"א 38 הוחלו בזה </w:t>
      </w:r>
      <w:r w:rsidR="007964BB" w:rsidRPr="00594A91">
        <w:rPr>
          <w:rFonts w:ascii="Arial" w:hAnsi="Arial" w:cs="Arial" w:hint="cs"/>
          <w:color w:val="000000"/>
          <w:sz w:val="24"/>
          <w:szCs w:val="24"/>
          <w:rtl/>
        </w:rPr>
        <w:t xml:space="preserve">אחר זה פטורים ייחודיים בחוק מיסוי מקרקעין. כאשר הוכח כי התמורה לדיירי הבניין התקבלה בדמות חיזוק הבניין ייתנן פטור ממס שבח עבור התמורות לדיירים בגין הזכויות הניתנות מכוח תמ"א 38. </w:t>
      </w:r>
    </w:p>
    <w:p w:rsidR="00C457FB" w:rsidRPr="00594A91" w:rsidRDefault="007964BB" w:rsidP="004564D2">
      <w:pPr>
        <w:spacing w:after="0" w:line="240" w:lineRule="auto"/>
        <w:outlineLvl w:val="0"/>
        <w:rPr>
          <w:rFonts w:ascii="Arial" w:hAnsi="Arial" w:cs="Arial"/>
          <w:b/>
          <w:bCs/>
          <w:color w:val="000000"/>
          <w:sz w:val="24"/>
          <w:szCs w:val="24"/>
          <w:rtl/>
        </w:rPr>
      </w:pPr>
      <w:r w:rsidRPr="00594A91">
        <w:rPr>
          <w:rFonts w:ascii="Arial" w:hAnsi="Arial" w:cs="Arial" w:hint="cs"/>
          <w:color w:val="000000"/>
          <w:sz w:val="24"/>
          <w:szCs w:val="24"/>
          <w:rtl/>
        </w:rPr>
        <w:t xml:space="preserve">בפרויקטים של הריסה ובניה התקבל פטור מעט שונה </w:t>
      </w:r>
      <w:r w:rsidRPr="00594A91">
        <w:rPr>
          <w:rFonts w:ascii="Arial" w:hAnsi="Arial" w:cs="Arial"/>
          <w:color w:val="000000"/>
          <w:sz w:val="24"/>
          <w:szCs w:val="24"/>
          <w:rtl/>
        </w:rPr>
        <w:t>–</w:t>
      </w:r>
      <w:r w:rsidRPr="00594A91">
        <w:rPr>
          <w:rFonts w:ascii="Arial" w:hAnsi="Arial" w:cs="Arial" w:hint="cs"/>
          <w:color w:val="000000"/>
          <w:sz w:val="24"/>
          <w:szCs w:val="24"/>
          <w:rtl/>
        </w:rPr>
        <w:t xml:space="preserve"> לקריאה נוספת </w:t>
      </w:r>
      <w:r w:rsidRPr="00594A91">
        <w:rPr>
          <w:rFonts w:ascii="Arial" w:hAnsi="Arial" w:cs="Arial"/>
          <w:color w:val="000000"/>
          <w:sz w:val="24"/>
          <w:szCs w:val="24"/>
          <w:rtl/>
        </w:rPr>
        <w:t>–</w:t>
      </w:r>
      <w:r w:rsidRPr="00594A91">
        <w:rPr>
          <w:rFonts w:ascii="Arial" w:hAnsi="Arial" w:cs="Arial" w:hint="cs"/>
          <w:color w:val="000000"/>
          <w:sz w:val="24"/>
          <w:szCs w:val="24"/>
          <w:rtl/>
        </w:rPr>
        <w:t xml:space="preserve"> </w:t>
      </w:r>
      <w:r w:rsidRPr="00594A91">
        <w:rPr>
          <w:rFonts w:ascii="Arial" w:hAnsi="Arial" w:cs="Arial" w:hint="cs"/>
          <w:b/>
          <w:bCs/>
          <w:color w:val="000000"/>
          <w:sz w:val="24"/>
          <w:szCs w:val="24"/>
          <w:rtl/>
        </w:rPr>
        <w:t>מס שבח בעסקאות תמ"א 38/2.</w:t>
      </w:r>
    </w:p>
    <w:p w:rsidR="007964BB" w:rsidRPr="00594A91" w:rsidRDefault="007964BB" w:rsidP="004564D2">
      <w:pPr>
        <w:spacing w:after="0" w:line="240" w:lineRule="auto"/>
        <w:outlineLvl w:val="0"/>
        <w:rPr>
          <w:rFonts w:ascii="Arial" w:hAnsi="Arial" w:cs="Arial"/>
          <w:b/>
          <w:bCs/>
          <w:color w:val="000000"/>
          <w:sz w:val="24"/>
          <w:szCs w:val="24"/>
          <w:rtl/>
        </w:rPr>
      </w:pPr>
    </w:p>
    <w:p w:rsidR="007964BB" w:rsidRPr="00594A91" w:rsidRDefault="007964BB" w:rsidP="004564D2">
      <w:pPr>
        <w:spacing w:after="0" w:line="240" w:lineRule="auto"/>
        <w:outlineLvl w:val="0"/>
        <w:rPr>
          <w:rFonts w:ascii="Arial" w:hAnsi="Arial" w:cs="Arial" w:hint="cs"/>
          <w:color w:val="000000"/>
          <w:sz w:val="24"/>
          <w:szCs w:val="24"/>
          <w:rtl/>
        </w:rPr>
      </w:pPr>
      <w:r w:rsidRPr="00594A91">
        <w:rPr>
          <w:rFonts w:ascii="Arial" w:hAnsi="Arial" w:cs="Arial" w:hint="cs"/>
          <w:color w:val="000000"/>
          <w:sz w:val="24"/>
          <w:szCs w:val="24"/>
          <w:rtl/>
        </w:rPr>
        <w:t xml:space="preserve">העיקרון המנחה של השוק עד לחיקוק חוק הרשות הממשלתית להתחדשות עירונית החיל את הפטורים הנ"ל על זכויות מכוח תמ"א 38 בלבד, וככל שנעשה שימוש בזכויות </w:t>
      </w:r>
      <w:proofErr w:type="spellStart"/>
      <w:r w:rsidRPr="00594A91">
        <w:rPr>
          <w:rFonts w:ascii="Arial" w:hAnsi="Arial" w:cs="Arial" w:hint="cs"/>
          <w:color w:val="000000"/>
          <w:sz w:val="24"/>
          <w:szCs w:val="24"/>
          <w:rtl/>
        </w:rPr>
        <w:t>תב"עיות</w:t>
      </w:r>
      <w:proofErr w:type="spellEnd"/>
      <w:r w:rsidRPr="00594A91">
        <w:rPr>
          <w:rFonts w:ascii="Arial" w:hAnsi="Arial" w:cs="Arial" w:hint="cs"/>
          <w:color w:val="000000"/>
          <w:sz w:val="24"/>
          <w:szCs w:val="24"/>
          <w:rtl/>
        </w:rPr>
        <w:t xml:space="preserve"> לא היו ניתנים הפטורים האמורים.</w:t>
      </w:r>
    </w:p>
    <w:p w:rsidR="007964BB" w:rsidRPr="00594A91" w:rsidRDefault="00884888" w:rsidP="004564D2">
      <w:pPr>
        <w:spacing w:after="0" w:line="240" w:lineRule="auto"/>
        <w:outlineLvl w:val="0"/>
        <w:rPr>
          <w:rFonts w:ascii="Arial" w:hAnsi="Arial" w:cs="Arial"/>
          <w:color w:val="000000"/>
          <w:sz w:val="24"/>
          <w:szCs w:val="24"/>
          <w:rtl/>
        </w:rPr>
      </w:pPr>
      <w:r w:rsidRPr="00594A91">
        <w:rPr>
          <w:rFonts w:ascii="Arial" w:hAnsi="Arial" w:cs="Arial" w:hint="cs"/>
          <w:color w:val="000000"/>
          <w:sz w:val="24"/>
          <w:szCs w:val="24"/>
          <w:rtl/>
        </w:rPr>
        <w:t xml:space="preserve">כנ"ל לעניין חוק המע"מ שעבר תלאות ולבסוף </w:t>
      </w:r>
      <w:r w:rsidRPr="00594A91">
        <w:rPr>
          <w:rFonts w:ascii="Arial" w:hAnsi="Arial" w:cs="Arial"/>
          <w:color w:val="666666"/>
          <w:sz w:val="24"/>
          <w:szCs w:val="24"/>
          <w:shd w:val="clear" w:color="auto" w:fill="FFFFFF"/>
          <w:rtl/>
        </w:rPr>
        <w:t xml:space="preserve">בתיקון 47 לחוק </w:t>
      </w:r>
      <w:proofErr w:type="spellStart"/>
      <w:r w:rsidRPr="00594A91">
        <w:rPr>
          <w:rFonts w:ascii="Arial" w:hAnsi="Arial" w:cs="Arial"/>
          <w:color w:val="666666"/>
          <w:sz w:val="24"/>
          <w:szCs w:val="24"/>
          <w:shd w:val="clear" w:color="auto" w:fill="FFFFFF"/>
          <w:rtl/>
        </w:rPr>
        <w:t>המעמ</w:t>
      </w:r>
      <w:proofErr w:type="spellEnd"/>
      <w:r w:rsidRPr="00594A91">
        <w:rPr>
          <w:rFonts w:ascii="Arial" w:hAnsi="Arial" w:cs="Arial"/>
          <w:color w:val="666666"/>
          <w:sz w:val="24"/>
          <w:szCs w:val="24"/>
          <w:shd w:val="clear" w:color="auto" w:fill="FFFFFF"/>
          <w:rtl/>
        </w:rPr>
        <w:t xml:space="preserve"> סעיף 31ב</w:t>
      </w:r>
      <w:r w:rsidRPr="00594A91">
        <w:rPr>
          <w:rFonts w:ascii="Arial" w:hAnsi="Arial" w:cs="Arial" w:hint="cs"/>
          <w:color w:val="000000"/>
          <w:sz w:val="24"/>
          <w:szCs w:val="24"/>
          <w:rtl/>
        </w:rPr>
        <w:t xml:space="preserve"> קבע כי יחול מע"מ בשיעור 0 עבור שירותי בניה מכוח תכנית החיזוק.</w:t>
      </w:r>
    </w:p>
    <w:p w:rsidR="00884888" w:rsidRPr="00594A91" w:rsidRDefault="00884888" w:rsidP="004564D2">
      <w:pPr>
        <w:spacing w:after="0" w:line="240" w:lineRule="auto"/>
        <w:outlineLvl w:val="0"/>
        <w:rPr>
          <w:rFonts w:ascii="Arial" w:hAnsi="Arial" w:cs="Arial"/>
          <w:color w:val="000000"/>
          <w:sz w:val="24"/>
          <w:szCs w:val="24"/>
          <w:rtl/>
        </w:rPr>
      </w:pPr>
    </w:p>
    <w:p w:rsidR="00884888" w:rsidRPr="00594A91" w:rsidRDefault="00042E42" w:rsidP="004564D2">
      <w:pPr>
        <w:spacing w:after="0" w:line="240" w:lineRule="auto"/>
        <w:outlineLvl w:val="0"/>
        <w:rPr>
          <w:rFonts w:ascii="Arial" w:hAnsi="Arial" w:cs="Arial"/>
          <w:color w:val="000000"/>
          <w:sz w:val="24"/>
          <w:szCs w:val="24"/>
          <w:rtl/>
        </w:rPr>
      </w:pPr>
      <w:r w:rsidRPr="00594A91">
        <w:rPr>
          <w:rFonts w:ascii="Arial" w:hAnsi="Arial" w:cs="Arial" w:hint="cs"/>
          <w:color w:val="000000"/>
          <w:sz w:val="24"/>
          <w:szCs w:val="24"/>
          <w:rtl/>
        </w:rPr>
        <w:t xml:space="preserve">הפטורים הנ"ל עמדו במבחן המציאות באופן חלקי בלבד </w:t>
      </w:r>
      <w:r w:rsidRPr="00594A91">
        <w:rPr>
          <w:rFonts w:ascii="Arial" w:hAnsi="Arial" w:cs="Arial"/>
          <w:color w:val="000000"/>
          <w:sz w:val="24"/>
          <w:szCs w:val="24"/>
          <w:rtl/>
        </w:rPr>
        <w:t>–</w:t>
      </w:r>
      <w:r w:rsidRPr="00594A91">
        <w:rPr>
          <w:rFonts w:ascii="Arial" w:hAnsi="Arial" w:cs="Arial" w:hint="cs"/>
          <w:color w:val="000000"/>
          <w:sz w:val="24"/>
          <w:szCs w:val="24"/>
          <w:rtl/>
        </w:rPr>
        <w:t xml:space="preserve"> גרמו ליציאת פרויקטים רבים לפועל אך </w:t>
      </w:r>
    </w:p>
    <w:p w:rsidR="00042E42" w:rsidRPr="00594A91" w:rsidRDefault="00042E42" w:rsidP="004564D2">
      <w:pPr>
        <w:spacing w:after="0" w:line="240" w:lineRule="auto"/>
        <w:outlineLvl w:val="0"/>
        <w:rPr>
          <w:rFonts w:ascii="Arial" w:hAnsi="Arial" w:cs="Arial" w:hint="cs"/>
          <w:color w:val="000000"/>
          <w:sz w:val="24"/>
          <w:szCs w:val="24"/>
          <w:rtl/>
        </w:rPr>
      </w:pPr>
      <w:r w:rsidRPr="00594A91">
        <w:rPr>
          <w:rFonts w:ascii="Arial" w:hAnsi="Arial" w:cs="Arial" w:hint="cs"/>
          <w:color w:val="000000"/>
          <w:sz w:val="24"/>
          <w:szCs w:val="24"/>
          <w:rtl/>
        </w:rPr>
        <w:t>השאירו מספר לא מבוטל של פרויקטים פוטנציאלים יתומים מיזם.</w:t>
      </w:r>
    </w:p>
    <w:p w:rsidR="00042E42" w:rsidRPr="00594A91" w:rsidRDefault="00042E42" w:rsidP="004564D2">
      <w:pPr>
        <w:spacing w:after="0" w:line="240" w:lineRule="auto"/>
        <w:outlineLvl w:val="0"/>
        <w:rPr>
          <w:rFonts w:ascii="Arial" w:hAnsi="Arial" w:cs="Arial"/>
          <w:color w:val="000000"/>
          <w:sz w:val="24"/>
          <w:szCs w:val="24"/>
          <w:rtl/>
        </w:rPr>
      </w:pPr>
    </w:p>
    <w:p w:rsidR="00042E42" w:rsidRPr="00594A91" w:rsidRDefault="00042E42" w:rsidP="004564D2">
      <w:pPr>
        <w:spacing w:after="0" w:line="240" w:lineRule="auto"/>
        <w:outlineLvl w:val="0"/>
        <w:rPr>
          <w:rFonts w:ascii="Arial" w:hAnsi="Arial" w:cs="Arial"/>
          <w:color w:val="000000"/>
          <w:sz w:val="24"/>
          <w:szCs w:val="24"/>
          <w:rtl/>
        </w:rPr>
      </w:pPr>
      <w:r w:rsidRPr="00594A91">
        <w:rPr>
          <w:rFonts w:ascii="Arial" w:hAnsi="Arial" w:cs="Arial" w:hint="cs"/>
          <w:color w:val="000000"/>
          <w:sz w:val="24"/>
          <w:szCs w:val="24"/>
          <w:rtl/>
        </w:rPr>
        <w:t xml:space="preserve">על כן ניסו היזמים להציג את עסקת </w:t>
      </w:r>
      <w:proofErr w:type="spellStart"/>
      <w:r w:rsidRPr="00594A91">
        <w:rPr>
          <w:rFonts w:ascii="Arial" w:hAnsi="Arial" w:cs="Arial" w:hint="cs"/>
          <w:color w:val="000000"/>
          <w:sz w:val="24"/>
          <w:szCs w:val="24"/>
          <w:rtl/>
        </w:rPr>
        <w:t>התמ"א</w:t>
      </w:r>
      <w:proofErr w:type="spellEnd"/>
      <w:r w:rsidRPr="00594A91">
        <w:rPr>
          <w:rFonts w:ascii="Arial" w:hAnsi="Arial" w:cs="Arial" w:hint="cs"/>
          <w:color w:val="000000"/>
          <w:sz w:val="24"/>
          <w:szCs w:val="24"/>
          <w:rtl/>
        </w:rPr>
        <w:t xml:space="preserve"> 38 כעסקת קומבינציה ולהשתמש בפטורים הייעודיים. מבחינה טכנית מדובר בדיוק באותה עסקה </w:t>
      </w:r>
      <w:r w:rsidRPr="00594A91">
        <w:rPr>
          <w:rFonts w:ascii="Arial" w:hAnsi="Arial" w:cs="Arial"/>
          <w:color w:val="000000"/>
          <w:sz w:val="24"/>
          <w:szCs w:val="24"/>
          <w:rtl/>
        </w:rPr>
        <w:t>–</w:t>
      </w:r>
      <w:r w:rsidRPr="00594A91">
        <w:rPr>
          <w:rFonts w:ascii="Arial" w:hAnsi="Arial" w:cs="Arial" w:hint="cs"/>
          <w:color w:val="000000"/>
          <w:sz w:val="24"/>
          <w:szCs w:val="24"/>
          <w:rtl/>
        </w:rPr>
        <w:t xml:space="preserve"> מכירת זכויות בניה כנגד מתן שירותי בניה. כך הצליחו יזמים לתכנן מס בעסקאות תמ"א 38 תוך שימוש בפטור ממס שבח בחישוב ליניארי מוטב </w:t>
      </w:r>
      <w:r w:rsidRPr="00594A91">
        <w:rPr>
          <w:rFonts w:ascii="Arial" w:hAnsi="Arial" w:cs="Arial"/>
          <w:color w:val="000000"/>
          <w:sz w:val="24"/>
          <w:szCs w:val="24"/>
          <w:rtl/>
        </w:rPr>
        <w:t>–</w:t>
      </w:r>
      <w:r w:rsidRPr="00594A91">
        <w:rPr>
          <w:rFonts w:ascii="Arial" w:hAnsi="Arial" w:cs="Arial" w:hint="cs"/>
          <w:color w:val="000000"/>
          <w:sz w:val="24"/>
          <w:szCs w:val="24"/>
          <w:rtl/>
        </w:rPr>
        <w:t xml:space="preserve"> עד 2 </w:t>
      </w:r>
      <w:proofErr w:type="spellStart"/>
      <w:r w:rsidRPr="00594A91">
        <w:rPr>
          <w:rFonts w:ascii="Arial" w:hAnsi="Arial" w:cs="Arial" w:hint="cs"/>
          <w:color w:val="000000"/>
          <w:sz w:val="24"/>
          <w:szCs w:val="24"/>
          <w:rtl/>
        </w:rPr>
        <w:t>מליון</w:t>
      </w:r>
      <w:proofErr w:type="spellEnd"/>
      <w:r w:rsidRPr="00594A91">
        <w:rPr>
          <w:rFonts w:ascii="Arial" w:hAnsi="Arial" w:cs="Arial" w:hint="cs"/>
          <w:color w:val="000000"/>
          <w:sz w:val="24"/>
          <w:szCs w:val="24"/>
          <w:rtl/>
        </w:rPr>
        <w:t xml:space="preserve"> שח ללא הבחנה בין </w:t>
      </w:r>
      <w:proofErr w:type="spellStart"/>
      <w:r w:rsidRPr="00594A91">
        <w:rPr>
          <w:rFonts w:ascii="Arial" w:hAnsi="Arial" w:cs="Arial" w:hint="cs"/>
          <w:color w:val="000000"/>
          <w:sz w:val="24"/>
          <w:szCs w:val="24"/>
          <w:rtl/>
        </w:rPr>
        <w:t>תב"ע</w:t>
      </w:r>
      <w:proofErr w:type="spellEnd"/>
      <w:r w:rsidRPr="00594A91">
        <w:rPr>
          <w:rFonts w:ascii="Arial" w:hAnsi="Arial" w:cs="Arial" w:hint="cs"/>
          <w:color w:val="000000"/>
          <w:sz w:val="24"/>
          <w:szCs w:val="24"/>
          <w:rtl/>
        </w:rPr>
        <w:t xml:space="preserve"> לתמ"א38. שיטת המיסוי מבוססת על פטור מרכיב דירת המגורים בצירוף מגן מס בדמות פטור מס על זכויות הבניה, עד כפל שווי הדירה בלא זכויות הבניה ובלבד שלא יעבור את 2 </w:t>
      </w:r>
      <w:proofErr w:type="spellStart"/>
      <w:r w:rsidRPr="00594A91">
        <w:rPr>
          <w:rFonts w:ascii="Arial" w:hAnsi="Arial" w:cs="Arial" w:hint="cs"/>
          <w:color w:val="000000"/>
          <w:sz w:val="24"/>
          <w:szCs w:val="24"/>
          <w:rtl/>
        </w:rPr>
        <w:t>מליון</w:t>
      </w:r>
      <w:proofErr w:type="spellEnd"/>
      <w:r w:rsidRPr="00594A91">
        <w:rPr>
          <w:rFonts w:ascii="Arial" w:hAnsi="Arial" w:cs="Arial" w:hint="cs"/>
          <w:color w:val="000000"/>
          <w:sz w:val="24"/>
          <w:szCs w:val="24"/>
          <w:rtl/>
        </w:rPr>
        <w:t xml:space="preserve"> שח (הנמוך מהשניים). </w:t>
      </w:r>
    </w:p>
    <w:p w:rsidR="00042E42" w:rsidRPr="00594A91" w:rsidRDefault="00042E42" w:rsidP="004564D2">
      <w:pPr>
        <w:spacing w:after="0" w:line="240" w:lineRule="auto"/>
        <w:outlineLvl w:val="0"/>
        <w:rPr>
          <w:rFonts w:ascii="Arial" w:hAnsi="Arial" w:cs="Arial"/>
          <w:color w:val="000000"/>
          <w:sz w:val="24"/>
          <w:szCs w:val="24"/>
          <w:rtl/>
        </w:rPr>
      </w:pPr>
    </w:p>
    <w:p w:rsidR="00042E42" w:rsidRPr="00594A91" w:rsidRDefault="00042E42" w:rsidP="004564D2">
      <w:pPr>
        <w:spacing w:after="0" w:line="240" w:lineRule="auto"/>
        <w:outlineLvl w:val="0"/>
        <w:rPr>
          <w:rFonts w:ascii="Arial" w:hAnsi="Arial" w:cs="Arial"/>
          <w:color w:val="000000"/>
          <w:sz w:val="24"/>
          <w:szCs w:val="24"/>
          <w:rtl/>
        </w:rPr>
      </w:pPr>
      <w:r w:rsidRPr="00594A91">
        <w:rPr>
          <w:rFonts w:ascii="Arial" w:hAnsi="Arial" w:cs="Arial" w:hint="cs"/>
          <w:color w:val="000000"/>
          <w:sz w:val="24"/>
          <w:szCs w:val="24"/>
          <w:rtl/>
        </w:rPr>
        <w:t xml:space="preserve">עם עליית מחירי הדירות הלך וקטן מספר השימושים בפטור הנ"ל משיקולי חוסר אפקטיביות, הרי כל דירה באזורי המרכז מתקרבת ל-2 </w:t>
      </w:r>
      <w:proofErr w:type="spellStart"/>
      <w:r w:rsidRPr="00594A91">
        <w:rPr>
          <w:rFonts w:ascii="Arial" w:hAnsi="Arial" w:cs="Arial" w:hint="cs"/>
          <w:color w:val="000000"/>
          <w:sz w:val="24"/>
          <w:szCs w:val="24"/>
          <w:rtl/>
        </w:rPr>
        <w:t>מליון</w:t>
      </w:r>
      <w:proofErr w:type="spellEnd"/>
      <w:r w:rsidRPr="00594A91">
        <w:rPr>
          <w:rFonts w:ascii="Arial" w:hAnsi="Arial" w:cs="Arial" w:hint="cs"/>
          <w:color w:val="000000"/>
          <w:sz w:val="24"/>
          <w:szCs w:val="24"/>
          <w:rtl/>
        </w:rPr>
        <w:t xml:space="preserve"> ₪.</w:t>
      </w:r>
    </w:p>
    <w:p w:rsidR="00042E42" w:rsidRPr="00594A91" w:rsidRDefault="00042E42" w:rsidP="004564D2">
      <w:pPr>
        <w:spacing w:after="0" w:line="240" w:lineRule="auto"/>
        <w:outlineLvl w:val="0"/>
        <w:rPr>
          <w:rFonts w:ascii="Arial" w:hAnsi="Arial" w:cs="Arial"/>
          <w:color w:val="000000"/>
          <w:sz w:val="24"/>
          <w:szCs w:val="24"/>
          <w:rtl/>
        </w:rPr>
      </w:pPr>
    </w:p>
    <w:p w:rsidR="00042E42" w:rsidRPr="00594A91" w:rsidRDefault="00042E42" w:rsidP="004564D2">
      <w:pPr>
        <w:spacing w:after="0" w:line="240" w:lineRule="auto"/>
        <w:outlineLvl w:val="0"/>
        <w:rPr>
          <w:rFonts w:ascii="Arial" w:hAnsi="Arial" w:cs="Arial"/>
          <w:color w:val="000000"/>
          <w:sz w:val="24"/>
          <w:szCs w:val="24"/>
          <w:rtl/>
        </w:rPr>
      </w:pPr>
      <w:r w:rsidRPr="00594A91">
        <w:rPr>
          <w:rFonts w:ascii="Arial" w:hAnsi="Arial" w:cs="Arial" w:hint="cs"/>
          <w:color w:val="000000"/>
          <w:sz w:val="24"/>
          <w:szCs w:val="24"/>
          <w:rtl/>
        </w:rPr>
        <w:t xml:space="preserve">וכך נאלצו היזמים לשוב ולהשתמש בפטור הייחודי ולשלם מס על הרכיב </w:t>
      </w:r>
      <w:proofErr w:type="spellStart"/>
      <w:r w:rsidRPr="00594A91">
        <w:rPr>
          <w:rFonts w:ascii="Arial" w:hAnsi="Arial" w:cs="Arial" w:hint="cs"/>
          <w:color w:val="000000"/>
          <w:sz w:val="24"/>
          <w:szCs w:val="24"/>
          <w:rtl/>
        </w:rPr>
        <w:t>התב"עי</w:t>
      </w:r>
      <w:proofErr w:type="spellEnd"/>
      <w:r w:rsidRPr="00594A91">
        <w:rPr>
          <w:rFonts w:ascii="Arial" w:hAnsi="Arial" w:cs="Arial" w:hint="cs"/>
          <w:color w:val="000000"/>
          <w:sz w:val="24"/>
          <w:szCs w:val="24"/>
          <w:rtl/>
        </w:rPr>
        <w:t xml:space="preserve"> </w:t>
      </w:r>
    </w:p>
    <w:p w:rsidR="004564D2" w:rsidRPr="00594A91" w:rsidRDefault="004564D2" w:rsidP="004564D2">
      <w:pPr>
        <w:spacing w:after="0" w:line="240" w:lineRule="auto"/>
        <w:outlineLvl w:val="0"/>
        <w:rPr>
          <w:rFonts w:ascii="Arial" w:hAnsi="Arial" w:cs="Arial"/>
          <w:color w:val="000000"/>
          <w:sz w:val="24"/>
          <w:szCs w:val="24"/>
          <w:rtl/>
        </w:rPr>
      </w:pPr>
    </w:p>
    <w:p w:rsidR="004564D2" w:rsidRPr="00594A91" w:rsidRDefault="004564D2" w:rsidP="004564D2">
      <w:pPr>
        <w:spacing w:after="0" w:line="240" w:lineRule="auto"/>
        <w:outlineLvl w:val="0"/>
        <w:rPr>
          <w:rFonts w:ascii="Arial" w:hAnsi="Arial" w:cs="Arial"/>
          <w:b/>
          <w:bCs/>
          <w:color w:val="000000"/>
          <w:sz w:val="24"/>
          <w:szCs w:val="24"/>
          <w:rtl/>
        </w:rPr>
      </w:pPr>
      <w:r w:rsidRPr="00594A91">
        <w:rPr>
          <w:rFonts w:ascii="Arial" w:hAnsi="Arial" w:cs="Arial" w:hint="cs"/>
          <w:b/>
          <w:bCs/>
          <w:color w:val="000000"/>
          <w:sz w:val="24"/>
          <w:szCs w:val="24"/>
          <w:rtl/>
        </w:rPr>
        <w:t xml:space="preserve">תיקון מס' 88 לחוק מיסוי מקרקעין , הרחבת הפטור ממס שבח ומע"מ על זכויות מכוח </w:t>
      </w:r>
      <w:proofErr w:type="spellStart"/>
      <w:r w:rsidRPr="00594A91">
        <w:rPr>
          <w:rFonts w:ascii="Arial" w:hAnsi="Arial" w:cs="Arial" w:hint="cs"/>
          <w:b/>
          <w:bCs/>
          <w:color w:val="000000"/>
          <w:sz w:val="24"/>
          <w:szCs w:val="24"/>
          <w:rtl/>
        </w:rPr>
        <w:t>תב"ע</w:t>
      </w:r>
      <w:proofErr w:type="spellEnd"/>
      <w:r w:rsidRPr="00594A91">
        <w:rPr>
          <w:rFonts w:ascii="Arial" w:hAnsi="Arial" w:cs="Arial" w:hint="cs"/>
          <w:b/>
          <w:bCs/>
          <w:color w:val="000000"/>
          <w:sz w:val="24"/>
          <w:szCs w:val="24"/>
          <w:rtl/>
        </w:rPr>
        <w:t>:</w:t>
      </w:r>
    </w:p>
    <w:p w:rsidR="00B763A4" w:rsidRPr="00594A91" w:rsidRDefault="00B763A4" w:rsidP="00E33BF7">
      <w:pPr>
        <w:rPr>
          <w:rFonts w:ascii="Arial" w:hAnsi="Arial" w:cs="Arial"/>
          <w:color w:val="000000"/>
          <w:sz w:val="24"/>
          <w:szCs w:val="24"/>
          <w:rtl/>
        </w:rPr>
      </w:pPr>
    </w:p>
    <w:p w:rsidR="00E33BF7" w:rsidRPr="00594A91" w:rsidRDefault="00E33BF7" w:rsidP="00E33BF7">
      <w:pPr>
        <w:rPr>
          <w:rFonts w:ascii="Arial" w:hAnsi="Arial" w:cs="Arial" w:hint="cs"/>
          <w:color w:val="000000"/>
          <w:sz w:val="24"/>
          <w:szCs w:val="24"/>
          <w:rtl/>
        </w:rPr>
      </w:pPr>
      <w:r w:rsidRPr="00594A91">
        <w:rPr>
          <w:rFonts w:ascii="Arial" w:hAnsi="Arial" w:cs="Arial" w:hint="cs"/>
          <w:color w:val="000000"/>
          <w:sz w:val="24"/>
          <w:szCs w:val="24"/>
          <w:rtl/>
        </w:rPr>
        <w:t xml:space="preserve">לפני כניסתו לתוקף של חוק הרשות הממשלתית להתחדשות עירונית והתיקון האמור, ניתן פטור ספציפי ממס שבח בהתאם לפרק חמישי 5 לחוק מיסוי מקרקעין, אשר הוגבל אך ורק למכירת זכויות מכוח תמ"א 38. כמעט בכל העסקות מכוח תמ"א 38/2 הריסה ובניה מחדש היינו עדים לשימוש בזכויות </w:t>
      </w:r>
      <w:proofErr w:type="spellStart"/>
      <w:r w:rsidRPr="00594A91">
        <w:rPr>
          <w:rFonts w:ascii="Arial" w:hAnsi="Arial" w:cs="Arial" w:hint="cs"/>
          <w:color w:val="000000"/>
          <w:sz w:val="24"/>
          <w:szCs w:val="24"/>
          <w:rtl/>
        </w:rPr>
        <w:t>תב"עיות</w:t>
      </w:r>
      <w:proofErr w:type="spellEnd"/>
      <w:r w:rsidRPr="00594A91">
        <w:rPr>
          <w:rFonts w:ascii="Arial" w:hAnsi="Arial" w:cs="Arial" w:hint="cs"/>
          <w:color w:val="000000"/>
          <w:sz w:val="24"/>
          <w:szCs w:val="24"/>
          <w:rtl/>
        </w:rPr>
        <w:t xml:space="preserve"> ולכן חל חיוב במס שבח. באותו אופן חושב מע"מ שירותי בניה עבור זכויות </w:t>
      </w:r>
      <w:proofErr w:type="spellStart"/>
      <w:r w:rsidRPr="00594A91">
        <w:rPr>
          <w:rFonts w:ascii="Arial" w:hAnsi="Arial" w:cs="Arial" w:hint="cs"/>
          <w:color w:val="000000"/>
          <w:sz w:val="24"/>
          <w:szCs w:val="24"/>
          <w:rtl/>
        </w:rPr>
        <w:t>תב"ע</w:t>
      </w:r>
      <w:proofErr w:type="spellEnd"/>
      <w:r w:rsidRPr="00594A91">
        <w:rPr>
          <w:rFonts w:ascii="Arial" w:hAnsi="Arial" w:cs="Arial" w:hint="cs"/>
          <w:color w:val="000000"/>
          <w:sz w:val="24"/>
          <w:szCs w:val="24"/>
          <w:rtl/>
        </w:rPr>
        <w:t>.</w:t>
      </w:r>
    </w:p>
    <w:p w:rsidR="000038BC" w:rsidRPr="00594A91" w:rsidRDefault="00E33BF7" w:rsidP="00E33BF7">
      <w:pPr>
        <w:bidi w:val="0"/>
        <w:jc w:val="right"/>
        <w:rPr>
          <w:rFonts w:ascii="Arial" w:hAnsi="Arial" w:cs="Arial"/>
          <w:color w:val="000000"/>
          <w:sz w:val="24"/>
          <w:szCs w:val="24"/>
          <w:rtl/>
        </w:rPr>
      </w:pPr>
      <w:r w:rsidRPr="00594A91">
        <w:rPr>
          <w:rFonts w:ascii="Arial" w:hAnsi="Arial" w:cs="Arial" w:hint="cs"/>
          <w:color w:val="000000"/>
          <w:sz w:val="24"/>
          <w:szCs w:val="24"/>
          <w:rtl/>
        </w:rPr>
        <w:t xml:space="preserve">עפ"י החוק החדש יחול מעתה פטור מלא ממס שבח גם כאשר יעשה היזם שימוש בזכויות נוספות מכוח </w:t>
      </w:r>
      <w:proofErr w:type="spellStart"/>
      <w:r w:rsidRPr="00594A91">
        <w:rPr>
          <w:rFonts w:ascii="Arial" w:hAnsi="Arial" w:cs="Arial" w:hint="cs"/>
          <w:color w:val="000000"/>
          <w:sz w:val="24"/>
          <w:szCs w:val="24"/>
          <w:rtl/>
        </w:rPr>
        <w:t>התב"ע</w:t>
      </w:r>
      <w:proofErr w:type="spellEnd"/>
      <w:r w:rsidRPr="00594A91">
        <w:rPr>
          <w:rFonts w:ascii="Arial" w:hAnsi="Arial" w:cs="Arial" w:hint="cs"/>
          <w:color w:val="000000"/>
          <w:sz w:val="24"/>
          <w:szCs w:val="24"/>
          <w:rtl/>
        </w:rPr>
        <w:t>,</w:t>
      </w:r>
      <w:r w:rsidR="00B763A4" w:rsidRPr="00594A91">
        <w:rPr>
          <w:rFonts w:ascii="Arial" w:hAnsi="Arial" w:cs="Arial"/>
          <w:color w:val="000000"/>
          <w:sz w:val="24"/>
          <w:szCs w:val="24"/>
          <w:rtl/>
        </w:rPr>
        <w:t xml:space="preserve"> ובלבד ש</w:t>
      </w:r>
      <w:r w:rsidRPr="00594A91">
        <w:rPr>
          <w:rFonts w:ascii="Arial" w:hAnsi="Arial" w:cs="Arial" w:hint="cs"/>
          <w:color w:val="000000"/>
          <w:sz w:val="24"/>
          <w:szCs w:val="24"/>
          <w:rtl/>
        </w:rPr>
        <w:t xml:space="preserve">השטח שיתווסף לדיירים הקיימים </w:t>
      </w:r>
      <w:r w:rsidR="00B763A4" w:rsidRPr="00594A91">
        <w:rPr>
          <w:rFonts w:ascii="Arial" w:hAnsi="Arial" w:cs="Arial"/>
          <w:color w:val="000000"/>
          <w:sz w:val="24"/>
          <w:szCs w:val="24"/>
          <w:rtl/>
        </w:rPr>
        <w:t xml:space="preserve">לא יעלה על 25 מ"ר. </w:t>
      </w:r>
    </w:p>
    <w:p w:rsidR="000038BC" w:rsidRPr="00594A91" w:rsidRDefault="000038BC" w:rsidP="000038BC">
      <w:pPr>
        <w:rPr>
          <w:rFonts w:ascii="Arial" w:hAnsi="Arial" w:cs="Arial" w:hint="cs"/>
          <w:color w:val="000000"/>
          <w:sz w:val="24"/>
          <w:szCs w:val="24"/>
          <w:rtl/>
        </w:rPr>
      </w:pPr>
      <w:r w:rsidRPr="00594A91">
        <w:rPr>
          <w:rFonts w:ascii="Arial" w:hAnsi="Arial" w:cs="Arial" w:hint="cs"/>
          <w:color w:val="000000"/>
          <w:sz w:val="24"/>
          <w:szCs w:val="24"/>
          <w:rtl/>
        </w:rPr>
        <w:t xml:space="preserve">בנוסף הורחב בהתאמה </w:t>
      </w:r>
      <w:proofErr w:type="spellStart"/>
      <w:r w:rsidRPr="00594A91">
        <w:rPr>
          <w:rFonts w:ascii="Arial" w:hAnsi="Arial" w:cs="Arial" w:hint="cs"/>
          <w:color w:val="000000"/>
          <w:sz w:val="24"/>
          <w:szCs w:val="24"/>
          <w:rtl/>
        </w:rPr>
        <w:t>מע,מ</w:t>
      </w:r>
      <w:proofErr w:type="spellEnd"/>
      <w:r w:rsidRPr="00594A91">
        <w:rPr>
          <w:rFonts w:ascii="Arial" w:hAnsi="Arial" w:cs="Arial" w:hint="cs"/>
          <w:color w:val="000000"/>
          <w:sz w:val="24"/>
          <w:szCs w:val="24"/>
          <w:rtl/>
        </w:rPr>
        <w:t xml:space="preserve"> בשיעור 0 (להלן הפטור)- עד לתיקון ובהתאם לסעיף 31ב לחוק </w:t>
      </w:r>
      <w:proofErr w:type="spellStart"/>
      <w:r w:rsidRPr="00594A91">
        <w:rPr>
          <w:rFonts w:ascii="Arial" w:hAnsi="Arial" w:cs="Arial" w:hint="cs"/>
          <w:color w:val="000000"/>
          <w:sz w:val="24"/>
          <w:szCs w:val="24"/>
          <w:rtl/>
        </w:rPr>
        <w:t>מעמ</w:t>
      </w:r>
      <w:proofErr w:type="spellEnd"/>
      <w:r w:rsidRPr="00594A91">
        <w:rPr>
          <w:rFonts w:ascii="Arial" w:hAnsi="Arial" w:cs="Arial" w:hint="cs"/>
          <w:color w:val="000000"/>
          <w:sz w:val="24"/>
          <w:szCs w:val="24"/>
          <w:rtl/>
        </w:rPr>
        <w:t xml:space="preserve"> על מתן שירותי בניה בעסקאות </w:t>
      </w:r>
      <w:proofErr w:type="spellStart"/>
      <w:r w:rsidRPr="00594A91">
        <w:rPr>
          <w:rFonts w:ascii="Arial" w:hAnsi="Arial" w:cs="Arial" w:hint="cs"/>
          <w:color w:val="000000"/>
          <w:sz w:val="24"/>
          <w:szCs w:val="24"/>
          <w:rtl/>
        </w:rPr>
        <w:t>תמא</w:t>
      </w:r>
      <w:proofErr w:type="spellEnd"/>
      <w:r w:rsidRPr="00594A91">
        <w:rPr>
          <w:rFonts w:ascii="Arial" w:hAnsi="Arial" w:cs="Arial" w:hint="cs"/>
          <w:color w:val="000000"/>
          <w:sz w:val="24"/>
          <w:szCs w:val="24"/>
          <w:rtl/>
        </w:rPr>
        <w:t xml:space="preserve"> 38 יחול </w:t>
      </w:r>
      <w:proofErr w:type="spellStart"/>
      <w:r w:rsidRPr="00594A91">
        <w:rPr>
          <w:rFonts w:ascii="Arial" w:hAnsi="Arial" w:cs="Arial" w:hint="cs"/>
          <w:color w:val="000000"/>
          <w:sz w:val="24"/>
          <w:szCs w:val="24"/>
          <w:rtl/>
        </w:rPr>
        <w:t>מעמ</w:t>
      </w:r>
      <w:proofErr w:type="spellEnd"/>
      <w:r w:rsidRPr="00594A91">
        <w:rPr>
          <w:rFonts w:ascii="Arial" w:hAnsi="Arial" w:cs="Arial" w:hint="cs"/>
          <w:color w:val="000000"/>
          <w:sz w:val="24"/>
          <w:szCs w:val="24"/>
          <w:rtl/>
        </w:rPr>
        <w:t xml:space="preserve"> בשיעור אפס. כעת עם התיקון יחול הפטור כאמור על זכויות מכוח </w:t>
      </w:r>
      <w:proofErr w:type="spellStart"/>
      <w:r w:rsidRPr="00594A91">
        <w:rPr>
          <w:rFonts w:ascii="Arial" w:hAnsi="Arial" w:cs="Arial" w:hint="cs"/>
          <w:color w:val="000000"/>
          <w:sz w:val="24"/>
          <w:szCs w:val="24"/>
          <w:rtl/>
        </w:rPr>
        <w:t>תב"ע</w:t>
      </w:r>
      <w:proofErr w:type="spellEnd"/>
      <w:r w:rsidRPr="00594A91">
        <w:rPr>
          <w:rFonts w:ascii="Arial" w:hAnsi="Arial" w:cs="Arial" w:hint="cs"/>
          <w:color w:val="000000"/>
          <w:sz w:val="24"/>
          <w:szCs w:val="24"/>
          <w:rtl/>
        </w:rPr>
        <w:t>.</w:t>
      </w:r>
    </w:p>
    <w:p w:rsidR="00E33BF7" w:rsidRPr="00594A91" w:rsidRDefault="000038BC" w:rsidP="000038BC">
      <w:pPr>
        <w:rPr>
          <w:rFonts w:ascii="Arial" w:hAnsi="Arial" w:cs="Arial"/>
          <w:color w:val="000000"/>
          <w:sz w:val="24"/>
          <w:szCs w:val="24"/>
          <w:rtl/>
        </w:rPr>
      </w:pPr>
      <w:r w:rsidRPr="00594A91">
        <w:rPr>
          <w:rFonts w:ascii="Arial" w:hAnsi="Arial" w:cs="Arial" w:hint="cs"/>
          <w:color w:val="000000"/>
          <w:sz w:val="24"/>
          <w:szCs w:val="24"/>
          <w:rtl/>
        </w:rPr>
        <w:t xml:space="preserve">עפ"י הוראות סעיף 49לב לחוק מיסוי מקרקעין יהיה יום המכירה כמוקדם מבין המועד שבו התקיים התנאי או שבו מומשה האופציה (באם קיימת), לבין מועד תחילת מתן שירותי הבניה מכוח תכנית החיזוק או חיזוק בצורה של הריסה. לכן אם טרם התקיימו התנאים בפרויקטים הקיימים ככל הנראה שלא תחול חבות במס על זכויות שלא  מכוח </w:t>
      </w:r>
      <w:proofErr w:type="spellStart"/>
      <w:r w:rsidRPr="00594A91">
        <w:rPr>
          <w:rFonts w:ascii="Arial" w:hAnsi="Arial" w:cs="Arial" w:hint="cs"/>
          <w:color w:val="000000"/>
          <w:sz w:val="24"/>
          <w:szCs w:val="24"/>
          <w:rtl/>
        </w:rPr>
        <w:t>תמא</w:t>
      </w:r>
      <w:proofErr w:type="spellEnd"/>
      <w:r w:rsidRPr="00594A91">
        <w:rPr>
          <w:rFonts w:ascii="Arial" w:hAnsi="Arial" w:cs="Arial" w:hint="cs"/>
          <w:color w:val="000000"/>
          <w:sz w:val="24"/>
          <w:szCs w:val="24"/>
          <w:rtl/>
        </w:rPr>
        <w:t xml:space="preserve"> 38.</w:t>
      </w:r>
    </w:p>
    <w:p w:rsidR="000038BC" w:rsidRPr="00594A91" w:rsidRDefault="00B763A4" w:rsidP="000038BC">
      <w:pPr>
        <w:bidi w:val="0"/>
        <w:jc w:val="right"/>
        <w:rPr>
          <w:rFonts w:ascii="Arial" w:hAnsi="Arial" w:cs="Arial"/>
          <w:color w:val="000000"/>
          <w:sz w:val="24"/>
          <w:szCs w:val="24"/>
          <w:rtl/>
        </w:rPr>
      </w:pPr>
      <w:proofErr w:type="gramStart"/>
      <w:r w:rsidRPr="00594A91">
        <w:rPr>
          <w:rFonts w:ascii="Arial" w:hAnsi="Arial" w:cs="Arial"/>
          <w:color w:val="000000"/>
          <w:sz w:val="24"/>
          <w:szCs w:val="24"/>
        </w:rPr>
        <w:t>.</w:t>
      </w:r>
      <w:r w:rsidRPr="00594A91">
        <w:rPr>
          <w:rFonts w:ascii="Arial" w:hAnsi="Arial" w:cs="Arial"/>
          <w:color w:val="000000"/>
          <w:sz w:val="24"/>
          <w:szCs w:val="24"/>
          <w:rtl/>
        </w:rPr>
        <w:t>רשות המיסים טרם גילתה את דעתה באשר לאפשרות להחיל את הוראות החוק החדש לגבי הסכמי תמ"א 38 שנחתמו לפני פרסומו של החוק החדש (בין אם התבקש בעסקות אלה ניצול פטורים אישיים של בעלי הדירות, לפי פרק חמישי 1 לחוק מיסוי מקרקעין ו"יום המכירה" בהן לא נדחה, ובין אם התבקש ניצול של הפטור הספציפי, לפי פרק חמישי 5 לחוק מיסוי מקרקעין ו"יום המכירה" בהן נדחה למועד כניסתו לתוקף של ההסכם שהוא בדרך כלל מועד קבלת היתר הבנייה)</w:t>
      </w:r>
      <w:proofErr w:type="gramEnd"/>
    </w:p>
    <w:p w:rsidR="00884888" w:rsidRPr="00594A91" w:rsidRDefault="00884888" w:rsidP="004564D2">
      <w:pPr>
        <w:spacing w:after="0" w:line="240" w:lineRule="auto"/>
        <w:jc w:val="both"/>
        <w:rPr>
          <w:rFonts w:ascii="almoni-dl" w:eastAsia="Times New Roman" w:hAnsi="almoni-dl" w:cs="Arial"/>
          <w:color w:val="000000"/>
          <w:sz w:val="24"/>
          <w:szCs w:val="24"/>
          <w:rtl/>
        </w:rPr>
      </w:pPr>
    </w:p>
    <w:p w:rsidR="000038BC" w:rsidRPr="00594A91" w:rsidRDefault="000038BC" w:rsidP="004564D2">
      <w:pPr>
        <w:spacing w:after="0" w:line="240" w:lineRule="auto"/>
        <w:jc w:val="both"/>
        <w:rPr>
          <w:rFonts w:ascii="almoni-dl" w:eastAsia="Times New Roman" w:hAnsi="almoni-dl" w:cs="Arial"/>
          <w:color w:val="000000"/>
          <w:sz w:val="24"/>
          <w:szCs w:val="24"/>
          <w:rtl/>
        </w:rPr>
      </w:pPr>
      <w:r w:rsidRPr="00594A91">
        <w:rPr>
          <w:rFonts w:ascii="almoni-dl" w:eastAsia="Times New Roman" w:hAnsi="almoni-dl" w:cs="Arial" w:hint="cs"/>
          <w:color w:val="000000"/>
          <w:sz w:val="24"/>
          <w:szCs w:val="24"/>
          <w:rtl/>
        </w:rPr>
        <w:t xml:space="preserve">בנוסף נקבע כי תחולת פרק חמישי 5 לגבי עסקאות תמ"א 38 תוארך עד לתום 2021 </w:t>
      </w:r>
      <w:proofErr w:type="spellStart"/>
      <w:r w:rsidRPr="00594A91">
        <w:rPr>
          <w:rFonts w:ascii="almoni-dl" w:eastAsia="Times New Roman" w:hAnsi="almoni-dl" w:cs="Arial" w:hint="cs"/>
          <w:color w:val="000000"/>
          <w:sz w:val="24"/>
          <w:szCs w:val="24"/>
          <w:rtl/>
        </w:rPr>
        <w:t>כנל</w:t>
      </w:r>
      <w:proofErr w:type="spellEnd"/>
      <w:r w:rsidRPr="00594A91">
        <w:rPr>
          <w:rFonts w:ascii="almoni-dl" w:eastAsia="Times New Roman" w:hAnsi="almoni-dl" w:cs="Arial" w:hint="cs"/>
          <w:color w:val="000000"/>
          <w:sz w:val="24"/>
          <w:szCs w:val="24"/>
          <w:rtl/>
        </w:rPr>
        <w:t xml:space="preserve"> לגבי סעיף 31ב לחוק </w:t>
      </w:r>
      <w:proofErr w:type="spellStart"/>
      <w:r w:rsidRPr="00594A91">
        <w:rPr>
          <w:rFonts w:ascii="almoni-dl" w:eastAsia="Times New Roman" w:hAnsi="almoni-dl" w:cs="Arial" w:hint="cs"/>
          <w:color w:val="000000"/>
          <w:sz w:val="24"/>
          <w:szCs w:val="24"/>
          <w:rtl/>
        </w:rPr>
        <w:t>המעמ</w:t>
      </w:r>
      <w:proofErr w:type="spellEnd"/>
      <w:r w:rsidRPr="00594A91">
        <w:rPr>
          <w:rFonts w:ascii="almoni-dl" w:eastAsia="Times New Roman" w:hAnsi="almoni-dl" w:cs="Arial" w:hint="cs"/>
          <w:color w:val="000000"/>
          <w:sz w:val="24"/>
          <w:szCs w:val="24"/>
          <w:rtl/>
        </w:rPr>
        <w:t xml:space="preserve"> לגבי </w:t>
      </w:r>
      <w:proofErr w:type="spellStart"/>
      <w:r w:rsidRPr="00594A91">
        <w:rPr>
          <w:rFonts w:ascii="almoni-dl" w:eastAsia="Times New Roman" w:hAnsi="almoni-dl" w:cs="Arial" w:hint="cs"/>
          <w:color w:val="000000"/>
          <w:sz w:val="24"/>
          <w:szCs w:val="24"/>
          <w:rtl/>
        </w:rPr>
        <w:t>מעמ</w:t>
      </w:r>
      <w:proofErr w:type="spellEnd"/>
      <w:r w:rsidRPr="00594A91">
        <w:rPr>
          <w:rFonts w:ascii="almoni-dl" w:eastAsia="Times New Roman" w:hAnsi="almoni-dl" w:cs="Arial" w:hint="cs"/>
          <w:color w:val="000000"/>
          <w:sz w:val="24"/>
          <w:szCs w:val="24"/>
          <w:rtl/>
        </w:rPr>
        <w:t xml:space="preserve"> אפס (כפי שנקבע בתיקון 62 לחוק מיסוי מקרקעין).</w:t>
      </w:r>
    </w:p>
    <w:p w:rsidR="000038BC" w:rsidRPr="00594A91" w:rsidRDefault="000038BC" w:rsidP="004564D2">
      <w:pPr>
        <w:spacing w:after="0" w:line="240" w:lineRule="auto"/>
        <w:jc w:val="both"/>
        <w:rPr>
          <w:rFonts w:ascii="almoni-dl" w:eastAsia="Times New Roman" w:hAnsi="almoni-dl" w:cs="Arial"/>
          <w:color w:val="000000"/>
          <w:sz w:val="24"/>
          <w:szCs w:val="24"/>
          <w:rtl/>
        </w:rPr>
      </w:pPr>
    </w:p>
    <w:p w:rsidR="000038BC" w:rsidRPr="00594A91" w:rsidRDefault="000038BC" w:rsidP="004564D2">
      <w:pPr>
        <w:spacing w:after="0" w:line="240" w:lineRule="auto"/>
        <w:jc w:val="both"/>
        <w:rPr>
          <w:rFonts w:ascii="almoni-dl" w:eastAsia="Times New Roman" w:hAnsi="almoni-dl" w:cs="Arial"/>
          <w:b/>
          <w:bCs/>
          <w:color w:val="000000"/>
          <w:sz w:val="32"/>
          <w:szCs w:val="32"/>
          <w:rtl/>
        </w:rPr>
      </w:pPr>
      <w:r w:rsidRPr="00594A91">
        <w:rPr>
          <w:rFonts w:ascii="almoni-dl" w:eastAsia="Times New Roman" w:hAnsi="almoni-dl" w:cs="Arial" w:hint="cs"/>
          <w:b/>
          <w:bCs/>
          <w:color w:val="000000"/>
          <w:sz w:val="32"/>
          <w:szCs w:val="32"/>
          <w:rtl/>
        </w:rPr>
        <w:t>אז מה צופן לנו העתיד?</w:t>
      </w:r>
    </w:p>
    <w:p w:rsidR="00594A91" w:rsidRPr="00594A91" w:rsidRDefault="00594A91" w:rsidP="00594A91">
      <w:pPr>
        <w:spacing w:after="0" w:line="240" w:lineRule="auto"/>
        <w:jc w:val="both"/>
        <w:rPr>
          <w:rFonts w:ascii="almoni-dl" w:eastAsia="Times New Roman" w:hAnsi="almoni-dl" w:cs="Arial"/>
          <w:color w:val="000000"/>
          <w:sz w:val="24"/>
          <w:szCs w:val="24"/>
          <w:rtl/>
        </w:rPr>
      </w:pPr>
    </w:p>
    <w:p w:rsidR="00594A91" w:rsidRPr="00594A91" w:rsidRDefault="00594A91" w:rsidP="00594A91">
      <w:pPr>
        <w:spacing w:after="0" w:line="240" w:lineRule="auto"/>
        <w:jc w:val="both"/>
        <w:rPr>
          <w:rFonts w:ascii="almoni-dl" w:eastAsia="Times New Roman" w:hAnsi="almoni-dl" w:cs="Arial"/>
          <w:color w:val="000000"/>
          <w:sz w:val="24"/>
          <w:szCs w:val="24"/>
          <w:rtl/>
        </w:rPr>
      </w:pPr>
      <w:r w:rsidRPr="00594A91">
        <w:rPr>
          <w:rFonts w:ascii="almoni-dl" w:eastAsia="Times New Roman" w:hAnsi="almoni-dl" w:cs="Arial" w:hint="cs"/>
          <w:color w:val="000000"/>
          <w:sz w:val="24"/>
          <w:szCs w:val="24"/>
          <w:rtl/>
        </w:rPr>
        <w:t>כעת יהיה צורך להוכיח כי ניתנו שירותי חיזוק עד למגבלת החוק ומכאן לא יהיה צורך לשימוש בפטורים או חילוץ שווי המס מתוך ניתוח מקור הזכויות.</w:t>
      </w:r>
    </w:p>
    <w:p w:rsidR="000038BC" w:rsidRPr="00594A91" w:rsidRDefault="000038BC" w:rsidP="004564D2">
      <w:pPr>
        <w:spacing w:after="0" w:line="240" w:lineRule="auto"/>
        <w:jc w:val="both"/>
        <w:rPr>
          <w:rFonts w:ascii="almoni-dl" w:eastAsia="Times New Roman" w:hAnsi="almoni-dl" w:cs="Arial"/>
          <w:color w:val="000000"/>
          <w:sz w:val="24"/>
          <w:szCs w:val="24"/>
          <w:rtl/>
        </w:rPr>
      </w:pPr>
    </w:p>
    <w:p w:rsidR="00594A91" w:rsidRPr="00594A91" w:rsidRDefault="000038BC" w:rsidP="00594A91">
      <w:pPr>
        <w:spacing w:after="0" w:line="240" w:lineRule="auto"/>
        <w:jc w:val="both"/>
        <w:rPr>
          <w:rFonts w:ascii="almoni-dl" w:eastAsia="Times New Roman" w:hAnsi="almoni-dl" w:cs="Arial"/>
          <w:color w:val="000000"/>
          <w:sz w:val="24"/>
          <w:szCs w:val="24"/>
          <w:rtl/>
        </w:rPr>
      </w:pPr>
      <w:r w:rsidRPr="00594A91">
        <w:rPr>
          <w:rFonts w:ascii="almoni-dl" w:eastAsia="Times New Roman" w:hAnsi="almoni-dl" w:cs="Arial" w:hint="cs"/>
          <w:color w:val="000000"/>
          <w:sz w:val="24"/>
          <w:szCs w:val="24"/>
          <w:rtl/>
        </w:rPr>
        <w:t>העדכונים הנ"ל הם חלק משורה של תיקונים וחקיקה משלימה אשר נועדה להפחית את נטל המס ולגרום לכניסתם של פרויקטים רבים יותר למעגל הכדאיות לביצוע פרויקט התחדשות עירונית</w:t>
      </w:r>
      <w:r w:rsidR="00594A91" w:rsidRPr="00594A91">
        <w:rPr>
          <w:rFonts w:ascii="almoni-dl" w:eastAsia="Times New Roman" w:hAnsi="almoni-dl" w:cs="Arial" w:hint="cs"/>
          <w:color w:val="000000"/>
          <w:sz w:val="24"/>
          <w:szCs w:val="24"/>
          <w:rtl/>
        </w:rPr>
        <w:t xml:space="preserve">. </w:t>
      </w:r>
    </w:p>
    <w:p w:rsidR="00594A91" w:rsidRPr="00594A91" w:rsidRDefault="00594A91" w:rsidP="000038BC">
      <w:pPr>
        <w:spacing w:after="0" w:line="240" w:lineRule="auto"/>
        <w:jc w:val="both"/>
        <w:rPr>
          <w:rFonts w:ascii="almoni-dl" w:eastAsia="Times New Roman" w:hAnsi="almoni-dl" w:cs="Arial"/>
          <w:color w:val="000000"/>
          <w:sz w:val="24"/>
          <w:szCs w:val="24"/>
          <w:rtl/>
        </w:rPr>
      </w:pPr>
    </w:p>
    <w:p w:rsidR="00594A91" w:rsidRPr="00594A91" w:rsidRDefault="00594A91" w:rsidP="000038BC">
      <w:pPr>
        <w:spacing w:after="0" w:line="240" w:lineRule="auto"/>
        <w:jc w:val="both"/>
        <w:rPr>
          <w:rFonts w:ascii="almoni-dl" w:eastAsia="Times New Roman" w:hAnsi="almoni-dl" w:cs="Arial"/>
          <w:color w:val="000000"/>
          <w:sz w:val="24"/>
          <w:szCs w:val="24"/>
          <w:rtl/>
        </w:rPr>
      </w:pPr>
      <w:r w:rsidRPr="00594A91">
        <w:rPr>
          <w:rFonts w:ascii="almoni-dl" w:eastAsia="Times New Roman" w:hAnsi="almoni-dl" w:cs="Arial" w:hint="cs"/>
          <w:color w:val="000000"/>
          <w:sz w:val="24"/>
          <w:szCs w:val="24"/>
          <w:rtl/>
        </w:rPr>
        <w:t xml:space="preserve">מזה חודשים רבים שאנו מצפים </w:t>
      </w:r>
      <w:r w:rsidRPr="00594A91">
        <w:rPr>
          <w:rFonts w:ascii="almoni-dl" w:eastAsia="Times New Roman" w:hAnsi="almoni-dl" w:cs="Arial" w:hint="cs"/>
          <w:b/>
          <w:bCs/>
          <w:color w:val="000000"/>
          <w:sz w:val="24"/>
          <w:szCs w:val="24"/>
          <w:rtl/>
        </w:rPr>
        <w:t xml:space="preserve">לתיקון 4 </w:t>
      </w:r>
      <w:proofErr w:type="spellStart"/>
      <w:r w:rsidRPr="00594A91">
        <w:rPr>
          <w:rFonts w:ascii="almoni-dl" w:eastAsia="Times New Roman" w:hAnsi="almoni-dl" w:cs="Arial" w:hint="cs"/>
          <w:b/>
          <w:bCs/>
          <w:color w:val="000000"/>
          <w:sz w:val="24"/>
          <w:szCs w:val="24"/>
          <w:rtl/>
        </w:rPr>
        <w:t>לתמ"א</w:t>
      </w:r>
      <w:proofErr w:type="spellEnd"/>
      <w:r w:rsidRPr="00594A91">
        <w:rPr>
          <w:rFonts w:ascii="almoni-dl" w:eastAsia="Times New Roman" w:hAnsi="almoni-dl" w:cs="Arial" w:hint="cs"/>
          <w:b/>
          <w:bCs/>
          <w:color w:val="000000"/>
          <w:sz w:val="24"/>
          <w:szCs w:val="24"/>
          <w:rtl/>
        </w:rPr>
        <w:t xml:space="preserve"> 38</w:t>
      </w:r>
      <w:r w:rsidRPr="00594A91">
        <w:rPr>
          <w:rFonts w:ascii="almoni-dl" w:eastAsia="Times New Roman" w:hAnsi="almoni-dl" w:cs="Arial" w:hint="cs"/>
          <w:color w:val="000000"/>
          <w:sz w:val="24"/>
          <w:szCs w:val="24"/>
          <w:rtl/>
        </w:rPr>
        <w:t xml:space="preserve"> אשר עשוי להכניס שינויים נוספים ומרחיקי לכת ולהוסיף עשרות אלפי בניינים נוספים למעגל הכדאיות. </w:t>
      </w:r>
    </w:p>
    <w:p w:rsidR="000038BC" w:rsidRPr="00594A91" w:rsidRDefault="000038BC" w:rsidP="000038BC">
      <w:pPr>
        <w:spacing w:after="0" w:line="240" w:lineRule="auto"/>
        <w:jc w:val="both"/>
        <w:rPr>
          <w:rFonts w:ascii="almoni-dl" w:eastAsia="Times New Roman" w:hAnsi="almoni-dl" w:cs="Arial"/>
          <w:color w:val="000000"/>
          <w:sz w:val="24"/>
          <w:szCs w:val="24"/>
          <w:rtl/>
        </w:rPr>
      </w:pPr>
    </w:p>
    <w:p w:rsidR="004A00CB" w:rsidRPr="00594A91" w:rsidRDefault="00594A91" w:rsidP="00B763A4">
      <w:pPr>
        <w:rPr>
          <w:rFonts w:hint="cs"/>
          <w:b/>
          <w:bCs/>
          <w:sz w:val="24"/>
          <w:szCs w:val="24"/>
          <w:rtl/>
        </w:rPr>
      </w:pPr>
      <w:r w:rsidRPr="00594A91">
        <w:rPr>
          <w:rFonts w:hint="cs"/>
          <w:b/>
          <w:bCs/>
          <w:sz w:val="24"/>
          <w:szCs w:val="24"/>
          <w:rtl/>
        </w:rPr>
        <w:t>להורדת חוק הרשות הממשלתית להתחדשות עירונית לחץ כאן</w:t>
      </w:r>
      <w:r>
        <w:rPr>
          <w:rFonts w:hint="cs"/>
          <w:b/>
          <w:bCs/>
          <w:sz w:val="24"/>
          <w:szCs w:val="24"/>
          <w:rtl/>
        </w:rPr>
        <w:t>.</w:t>
      </w:r>
    </w:p>
    <w:sectPr w:rsidR="004A00CB" w:rsidRPr="00594A91" w:rsidSect="005B3ED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lmoni-dl">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7941E8"/>
    <w:multiLevelType w:val="multilevel"/>
    <w:tmpl w:val="4A808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6354AE"/>
    <w:multiLevelType w:val="multilevel"/>
    <w:tmpl w:val="AE441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A128AF"/>
    <w:multiLevelType w:val="hybridMultilevel"/>
    <w:tmpl w:val="9D14A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AA7"/>
    <w:rsid w:val="000038BC"/>
    <w:rsid w:val="00042E42"/>
    <w:rsid w:val="004564D2"/>
    <w:rsid w:val="004A00CB"/>
    <w:rsid w:val="004B493F"/>
    <w:rsid w:val="00594A91"/>
    <w:rsid w:val="005B3ED8"/>
    <w:rsid w:val="00601B40"/>
    <w:rsid w:val="007964BB"/>
    <w:rsid w:val="00884888"/>
    <w:rsid w:val="00931AA7"/>
    <w:rsid w:val="00B763A4"/>
    <w:rsid w:val="00C457FB"/>
    <w:rsid w:val="00E33BF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F969F2-DD33-4BF0-942A-A537604D4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3A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63A4"/>
    <w:rPr>
      <w:color w:val="0563C1" w:themeColor="hyperlink"/>
      <w:u w:val="single"/>
    </w:rPr>
  </w:style>
  <w:style w:type="character" w:customStyle="1" w:styleId="apple-converted-space">
    <w:name w:val="apple-converted-space"/>
    <w:basedOn w:val="DefaultParagraphFont"/>
    <w:rsid w:val="00B763A4"/>
  </w:style>
  <w:style w:type="paragraph" w:styleId="NormalWeb">
    <w:name w:val="Normal (Web)"/>
    <w:basedOn w:val="Normal"/>
    <w:uiPriority w:val="99"/>
    <w:semiHidden/>
    <w:unhideWhenUsed/>
    <w:rsid w:val="004A00CB"/>
    <w:pPr>
      <w:bidi w:val="0"/>
      <w:spacing w:after="0" w:line="240" w:lineRule="auto"/>
    </w:pPr>
    <w:rPr>
      <w:rFonts w:ascii="almoni-dl" w:eastAsia="Times New Roman" w:hAnsi="almoni-dl" w:cs="Times New Roman"/>
      <w:color w:val="000000"/>
      <w:sz w:val="30"/>
      <w:szCs w:val="30"/>
    </w:rPr>
  </w:style>
  <w:style w:type="paragraph" w:styleId="ListParagraph">
    <w:name w:val="List Paragraph"/>
    <w:basedOn w:val="Normal"/>
    <w:uiPriority w:val="34"/>
    <w:qFormat/>
    <w:rsid w:val="00601B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724</Words>
  <Characters>3622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2016-10-02T08:06:00Z</dcterms:created>
  <dcterms:modified xsi:type="dcterms:W3CDTF">2016-10-02T10:07:00Z</dcterms:modified>
</cp:coreProperties>
</file>